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2A21F" w14:textId="6AD04AFC" w:rsidR="00DD1FEB" w:rsidRDefault="00DD1FEB" w:rsidP="00DD1FEB">
      <w:pPr>
        <w:tabs>
          <w:tab w:val="num" w:pos="720"/>
        </w:tabs>
        <w:spacing w:before="120" w:after="120"/>
        <w:ind w:left="720" w:hanging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8</w:t>
      </w:r>
    </w:p>
    <w:p w14:paraId="53D9A3CD" w14:textId="77777777" w:rsidR="00DD1FEB" w:rsidRDefault="00DD1FEB" w:rsidP="00DD1FEB">
      <w:pPr>
        <w:tabs>
          <w:tab w:val="num" w:pos="720"/>
        </w:tabs>
        <w:spacing w:before="120" w:after="12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0ABEEEDA" w14:textId="5943F609" w:rsidR="007F6E57" w:rsidRPr="00DD1FEB" w:rsidRDefault="007F6E57" w:rsidP="007F6E57">
      <w:pPr>
        <w:tabs>
          <w:tab w:val="num" w:pos="720"/>
        </w:tabs>
        <w:spacing w:before="120" w:after="12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1FEB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765DD5B3" w14:textId="77777777" w:rsidR="007F6E57" w:rsidRPr="007F6E57" w:rsidRDefault="007F6E57" w:rsidP="007F6E57">
      <w:pPr>
        <w:numPr>
          <w:ilvl w:val="0"/>
          <w:numId w:val="1"/>
        </w:num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6E57">
        <w:rPr>
          <w:rFonts w:ascii="Times New Roman" w:eastAsia="Times New Roman" w:hAnsi="Times New Roman" w:cs="Times New Roman"/>
          <w:color w:val="000000"/>
          <w:sz w:val="24"/>
          <w:szCs w:val="24"/>
        </w:rPr>
        <w:t>Przedmiotem zamówienia jest opracowanie dokumentacji technicznej pt. „Termomodernizacja budynku Szkoły Podstawowej w Sobolewie” polegającego na pracach termomodernizacyjnych m.in.: docieplenie przegród, wymiana stolarki okiennej i drzwiowej, ocieplenie dachu, wymiana centralnego ogrzewania wraz ze źródłem ciepła, budowa instalacji fotowoltaicznej.</w:t>
      </w:r>
    </w:p>
    <w:p w14:paraId="1ECC2B93" w14:textId="737BB6B6" w:rsidR="007F6E57" w:rsidRPr="007F6E57" w:rsidRDefault="007F6E57" w:rsidP="007F6E57">
      <w:pPr>
        <w:pStyle w:val="Akapitzlist"/>
        <w:numPr>
          <w:ilvl w:val="0"/>
          <w:numId w:val="1"/>
        </w:numPr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6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Charakterystyka ogólna budynku </w:t>
      </w:r>
    </w:p>
    <w:p w14:paraId="189D8904" w14:textId="77777777" w:rsidR="007F6E57" w:rsidRPr="007F6E57" w:rsidRDefault="007F6E57" w:rsidP="007F6E57">
      <w:pPr>
        <w:pStyle w:val="Akapitzlist"/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6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Budynek usytuowany elewacją fontową (główne wejście do szkoły) od północy. Budynek trzykondygnacyjny (część najwyższa) o wymiarach: </w:t>
      </w:r>
    </w:p>
    <w:p w14:paraId="0E9D3EF2" w14:textId="6CA1DCB9" w:rsidR="007F6E57" w:rsidRPr="007F6E57" w:rsidRDefault="007F6E57" w:rsidP="007F6E57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6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Wysokość w najwyższym miejscu – 13,685m </w:t>
      </w:r>
    </w:p>
    <w:p w14:paraId="41847599" w14:textId="4BD99A36" w:rsidR="007F6E57" w:rsidRPr="007F6E57" w:rsidRDefault="007F6E57" w:rsidP="007F6E57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6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Szerokość budynku – 41,96 m </w:t>
      </w:r>
    </w:p>
    <w:p w14:paraId="0CFF0E6E" w14:textId="77777777" w:rsidR="007F6E57" w:rsidRPr="007F6E57" w:rsidRDefault="007F6E57" w:rsidP="007F6E57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6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Długość budynku – 82,38 m </w:t>
      </w:r>
    </w:p>
    <w:p w14:paraId="3DF42976" w14:textId="468799AA" w:rsidR="007F6E57" w:rsidRPr="007F6E57" w:rsidRDefault="007F6E57" w:rsidP="007F6E57">
      <w:pPr>
        <w:spacing w:before="120" w:after="12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F6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Budynek zlokalizowany jest przy ul. Kościuszki 17 na działce nr ewid. 2371/4. Przedmiotowy budynek wykonano w technologii tradycyjnej murowanej z cegły pełnej na zaprawie </w:t>
      </w:r>
      <w:proofErr w:type="spellStart"/>
      <w:r w:rsidRPr="007F6E57">
        <w:rPr>
          <w:rFonts w:ascii="Times New Roman" w:eastAsia="Times New Roman" w:hAnsi="Times New Roman" w:cs="Times New Roman"/>
          <w:color w:val="000000"/>
          <w:sz w:val="24"/>
          <w:szCs w:val="24"/>
        </w:rPr>
        <w:t>cem</w:t>
      </w:r>
      <w:proofErr w:type="spellEnd"/>
      <w:r w:rsidRPr="007F6E57">
        <w:rPr>
          <w:rFonts w:ascii="Times New Roman" w:eastAsia="Times New Roman" w:hAnsi="Times New Roman" w:cs="Times New Roman"/>
          <w:color w:val="000000"/>
          <w:sz w:val="24"/>
          <w:szCs w:val="24"/>
        </w:rPr>
        <w:t>.-</w:t>
      </w:r>
      <w:proofErr w:type="spellStart"/>
      <w:r w:rsidRPr="007F6E57">
        <w:rPr>
          <w:rFonts w:ascii="Times New Roman" w:eastAsia="Times New Roman" w:hAnsi="Times New Roman" w:cs="Times New Roman"/>
          <w:color w:val="000000"/>
          <w:sz w:val="24"/>
          <w:szCs w:val="24"/>
        </w:rPr>
        <w:t>wap</w:t>
      </w:r>
      <w:proofErr w:type="spellEnd"/>
      <w:r w:rsidRPr="007F6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 Połać dachu pokryta: blachą trapezową o spadkach dachu 2º oraz 16º, blachą płaską na rąbek o pochyleniu połaci 9,4º, oraz 10,2%. Budynek wyposażony w instalację: wodną, kanalizacyjną i elektryczną. Wykończenie zewnętrzne budynku stanowi tynk </w:t>
      </w:r>
      <w:proofErr w:type="spellStart"/>
      <w:r w:rsidRPr="007F6E57">
        <w:rPr>
          <w:rFonts w:ascii="Times New Roman" w:eastAsia="Times New Roman" w:hAnsi="Times New Roman" w:cs="Times New Roman"/>
          <w:color w:val="000000"/>
          <w:sz w:val="24"/>
          <w:szCs w:val="24"/>
        </w:rPr>
        <w:t>cem</w:t>
      </w:r>
      <w:proofErr w:type="spellEnd"/>
      <w:r w:rsidRPr="007F6E57">
        <w:rPr>
          <w:rFonts w:ascii="Times New Roman" w:eastAsia="Times New Roman" w:hAnsi="Times New Roman" w:cs="Times New Roman"/>
          <w:color w:val="000000"/>
          <w:sz w:val="24"/>
          <w:szCs w:val="24"/>
        </w:rPr>
        <w:t>.-</w:t>
      </w:r>
      <w:proofErr w:type="spellStart"/>
      <w:r w:rsidRPr="007F6E57">
        <w:rPr>
          <w:rFonts w:ascii="Times New Roman" w:eastAsia="Times New Roman" w:hAnsi="Times New Roman" w:cs="Times New Roman"/>
          <w:color w:val="000000"/>
          <w:sz w:val="24"/>
          <w:szCs w:val="24"/>
        </w:rPr>
        <w:t>wap</w:t>
      </w:r>
      <w:proofErr w:type="spellEnd"/>
      <w:r w:rsidRPr="007F6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z wyjątkiem Sali gimnastycznej którą wyprawę elewacyjną stanowi klej na siatce. Kolorystyka budynków jest wyblakła, widoczne jest miejscami zawilgocenie dolnej części budynku. Stolarka okienna w części objętej opracowaniem PCV lub drewniana. Występująca stolarka budowalna drewniana w złym stanie technicznym do wymiany. Schody zewnętrzne do Sali gimnastycznej z gresu z ubytkami i brakiem przyczepności części płytek do demontażu. Miejscami opaska wokół budynku z wylewki cementowej w pozostałej części z kostki betonowej. </w:t>
      </w:r>
      <w:r w:rsidRPr="007F6E57">
        <w:rPr>
          <w:rFonts w:ascii="Times New Roman" w:hAnsi="Times New Roman" w:cs="Times New Roman"/>
          <w:color w:val="000000"/>
          <w:sz w:val="24"/>
          <w:szCs w:val="24"/>
        </w:rPr>
        <w:t xml:space="preserve">W stanie istniejącym źródłem ciepła dla budynku szkoły są dwa kotły gazowe o mocy 115 oraz 140 </w:t>
      </w:r>
      <w:proofErr w:type="spellStart"/>
      <w:r w:rsidRPr="007F6E57">
        <w:rPr>
          <w:rFonts w:ascii="Times New Roman" w:hAnsi="Times New Roman" w:cs="Times New Roman"/>
          <w:color w:val="000000"/>
          <w:sz w:val="24"/>
          <w:szCs w:val="24"/>
        </w:rPr>
        <w:t>kW.</w:t>
      </w:r>
      <w:proofErr w:type="spellEnd"/>
      <w:r w:rsidRPr="007F6E57">
        <w:rPr>
          <w:rFonts w:ascii="Times New Roman" w:hAnsi="Times New Roman" w:cs="Times New Roman"/>
          <w:color w:val="000000"/>
          <w:sz w:val="24"/>
          <w:szCs w:val="24"/>
        </w:rPr>
        <w:t xml:space="preserve"> Kotły zlokalizowane są w kotłowni znajdującej się w starszej części budynku. Kotły pracują na potrzeby ogrzewania (starszej i nowszej części szkoły) i częściowo ciepłej wody użytkowej (dla starszej części szkoły). Ciepła woda na potrzeby starszej części budynku magazynowana jest w podgrzewaczu c.w.u. o pojemności 300 l (znajdującym się w kotłowni). Ciepła woda na potrzeby nowszej części przygotowywana jest poprzez pojemnościowy podgrzewacz elektryczny (dla łazienek) oraz poprzez miejscowe podgrzewacze elektryczne. W budynku w nowszej części oraz w sali sportowej występują grzejniki stalowe płytowe. W starszej części występują grzejniki żeliwne. Grzejniki bez regulacji miejscowej.</w:t>
      </w:r>
    </w:p>
    <w:p w14:paraId="6067E4FC" w14:textId="77777777" w:rsidR="007F6E57" w:rsidRPr="007F6E57" w:rsidRDefault="007F6E57" w:rsidP="007F6E57">
      <w:pPr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A646FB" w14:textId="77777777" w:rsidR="007F6E57" w:rsidRPr="007F6E57" w:rsidRDefault="007F6E57" w:rsidP="007F6E57">
      <w:pPr>
        <w:numPr>
          <w:ilvl w:val="0"/>
          <w:numId w:val="1"/>
        </w:numPr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6E57">
        <w:rPr>
          <w:rFonts w:ascii="Times New Roman" w:eastAsia="Times New Roman" w:hAnsi="Times New Roman" w:cs="Times New Roman"/>
          <w:color w:val="000000"/>
          <w:sz w:val="24"/>
          <w:szCs w:val="24"/>
        </w:rPr>
        <w:t>Przedmiot zamówienia obejmuje</w:t>
      </w:r>
      <w:r w:rsidRPr="007F6E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Dokumentację Techniczną, składającą się </w:t>
      </w:r>
      <w:r w:rsidRPr="007F6E57">
        <w:rPr>
          <w:rFonts w:ascii="Times New Roman" w:eastAsia="Calibri" w:hAnsi="Times New Roman" w:cs="Times New Roman"/>
          <w:color w:val="000000"/>
          <w:sz w:val="24"/>
          <w:szCs w:val="24"/>
        </w:rPr>
        <w:br/>
        <w:t>z następujących dokumentów:</w:t>
      </w:r>
    </w:p>
    <w:p w14:paraId="0DFDE207" w14:textId="00CB4F72" w:rsidR="007F6E57" w:rsidRPr="007F6E57" w:rsidRDefault="007F6E57" w:rsidP="007F6E57">
      <w:pPr>
        <w:pStyle w:val="Akapitzlist"/>
        <w:numPr>
          <w:ilvl w:val="1"/>
          <w:numId w:val="1"/>
        </w:numPr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6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Audyt energetyczny (opracowane zgodnie z Rozporządzeniem Ministra Infrastruktury z dnia 17 marca 2009 r. w sprawie szczegółowego zakresu i form audytu energetycznego oraz części audytu ramowego, wzorów kart audytów, </w:t>
      </w:r>
      <w:r w:rsidRPr="007F6E5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 także algorytmu oceny opłacalności przedsięwzięcia termo modernizacyjnego, Dz. U. 2009 Nr 43 poz. 346, oraz Rozporządzeniem Ministra Infrastruktury</w:t>
      </w:r>
      <w:r w:rsidR="004D12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6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Rozwoju z dnia 3 września 2015 r. zmieniającego </w:t>
      </w:r>
      <w:r w:rsidRPr="007F6E5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rozporządzenie w sprawie szczegółowego zakresu i form audytu energetycznego oraz części audytu remontowego, wzorów kart audytów, a także algorytmu oceny opłacalności przedsięwzięcia termomodernizacyjnego, Dz. U. 2015 poz. 1606).</w:t>
      </w:r>
    </w:p>
    <w:p w14:paraId="5FD4EE06" w14:textId="77777777" w:rsidR="007F6E57" w:rsidRPr="007F6E57" w:rsidRDefault="007F6E57" w:rsidP="007F6E57">
      <w:pPr>
        <w:numPr>
          <w:ilvl w:val="1"/>
          <w:numId w:val="1"/>
        </w:numPr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6E57">
        <w:rPr>
          <w:rFonts w:ascii="Times New Roman" w:eastAsia="Times New Roman" w:hAnsi="Times New Roman" w:cs="Times New Roman"/>
          <w:color w:val="000000"/>
          <w:sz w:val="24"/>
          <w:szCs w:val="24"/>
        </w:rPr>
        <w:t>Audyt efektywności energetycznej instalacji fotowoltaicznej i oświetlenia LED (opracowany zgodne z Rozporządzeniem Ministra Energii z dnia 5 października 2017 r. w sprawie szczegółowego zakresu i sposobu sporządzania audytu efektywności energetycznej oraz metod obliczania oszczędności energii (Dz. U. 2017 poz. 1912) oraz Ustawą z dnia 20 maja 2016 r. o efektywności energetycznej)</w:t>
      </w:r>
    </w:p>
    <w:p w14:paraId="06BC40F6" w14:textId="77777777" w:rsidR="007F6E57" w:rsidRPr="007F6E57" w:rsidRDefault="007F6E57" w:rsidP="007F6E57">
      <w:pPr>
        <w:numPr>
          <w:ilvl w:val="1"/>
          <w:numId w:val="1"/>
        </w:numPr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6E57">
        <w:rPr>
          <w:rFonts w:ascii="Times New Roman" w:eastAsia="Times New Roman" w:hAnsi="Times New Roman" w:cs="Times New Roman"/>
          <w:color w:val="000000"/>
          <w:sz w:val="24"/>
          <w:szCs w:val="24"/>
        </w:rPr>
        <w:t>Projekty budowlano-wykonawcze (opracowane zgodnie z Rozporządzeniem Ministra Transportu, Budownictwa I Gospodarki Morskiej z dnia 25 kwietnia 2012 r. w sprawie szczegółowego zakresu i formy projektu budowlanego, Dz. U. 2012 poz. 462, Rozporządzeniem Ministra Transportu, Budownictwa i Gospodarki Morskiej z dnia 21 czerwca 2013 r. zmieniającym rozporządzenie w sprawie szczegółowego zakresu i formy projektu budowlanego, Dz. U. 2013 poz. 762, Rozporządzeniem Ministra Infrastruktury i Rozwoju z dnia 22 września 2015 r. zmieniającym rozporządzenie w sprawie szczegółowego zakresu i formy projektu budowlanego, Dz. U. 2015 poz. 1554).</w:t>
      </w:r>
    </w:p>
    <w:p w14:paraId="7F14DC9A" w14:textId="77777777" w:rsidR="007F6E57" w:rsidRPr="007F6E57" w:rsidRDefault="007F6E57" w:rsidP="007F6E57">
      <w:pPr>
        <w:numPr>
          <w:ilvl w:val="1"/>
          <w:numId w:val="1"/>
        </w:numPr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6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Specyfikacje techniczne wykonania i odbioru robót budowlanych (opracowane zgodnie z Rozporządzeniem Ministra Infrastruktury z dnia 02 września 2004 r. w sprawie szczegółowego zakresu i formy dokumentacji projektowej, specyfikacji technicznych wykonania i odbioru robót budowlanych oraz programu funkcjonalno-użytkowego, </w:t>
      </w:r>
      <w:proofErr w:type="spellStart"/>
      <w:r w:rsidRPr="007F6E57">
        <w:rPr>
          <w:rFonts w:ascii="Times New Roman" w:eastAsia="Times New Roman" w:hAnsi="Times New Roman" w:cs="Times New Roman"/>
          <w:color w:val="000000"/>
          <w:sz w:val="24"/>
          <w:szCs w:val="24"/>
        </w:rPr>
        <w:t>t.j</w:t>
      </w:r>
      <w:proofErr w:type="spellEnd"/>
      <w:r w:rsidRPr="007F6E57">
        <w:rPr>
          <w:rFonts w:ascii="Times New Roman" w:eastAsia="Times New Roman" w:hAnsi="Times New Roman" w:cs="Times New Roman"/>
          <w:color w:val="000000"/>
          <w:sz w:val="24"/>
          <w:szCs w:val="24"/>
        </w:rPr>
        <w:t>. Dz. U. 2013 poz. 1129).</w:t>
      </w:r>
    </w:p>
    <w:p w14:paraId="5E600BD6" w14:textId="77777777" w:rsidR="007F6E57" w:rsidRPr="007F6E57" w:rsidRDefault="007F6E57" w:rsidP="007F6E57">
      <w:pPr>
        <w:numPr>
          <w:ilvl w:val="1"/>
          <w:numId w:val="1"/>
        </w:numPr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6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Przedmiary robót (opracowane zgodnie z Rozporządzeniem Ministra Infrastruktury z dnia 02 września 2004 r. w sprawie szczegółowego zakresu i formy dokumentacji projektowej, specyfikacji technicznych wykonania i odbioru robót budowlanych oraz programu funkcjonalno-użytkowego, </w:t>
      </w:r>
      <w:proofErr w:type="spellStart"/>
      <w:r w:rsidRPr="007F6E57">
        <w:rPr>
          <w:rFonts w:ascii="Times New Roman" w:eastAsia="Times New Roman" w:hAnsi="Times New Roman" w:cs="Times New Roman"/>
          <w:color w:val="000000"/>
          <w:sz w:val="24"/>
          <w:szCs w:val="24"/>
        </w:rPr>
        <w:t>t.j</w:t>
      </w:r>
      <w:proofErr w:type="spellEnd"/>
      <w:r w:rsidRPr="007F6E57">
        <w:rPr>
          <w:rFonts w:ascii="Times New Roman" w:eastAsia="Times New Roman" w:hAnsi="Times New Roman" w:cs="Times New Roman"/>
          <w:color w:val="000000"/>
          <w:sz w:val="24"/>
          <w:szCs w:val="24"/>
        </w:rPr>
        <w:t>. Dz. U. 2013 poz. 1129).</w:t>
      </w:r>
    </w:p>
    <w:p w14:paraId="25B2EF61" w14:textId="77777777" w:rsidR="007F6E57" w:rsidRPr="007F6E57" w:rsidRDefault="007F6E57" w:rsidP="007F6E57">
      <w:pPr>
        <w:numPr>
          <w:ilvl w:val="1"/>
          <w:numId w:val="1"/>
        </w:numPr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6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Kosztorysy inwestorskie (opracowane zgodnie z Rozporządzeniem Ministra Infrastruktury z dnia 18 maja 2004 r. w sprawie określenia metod i podstaw sporządzania kosztorysu inwestorskiego, obliczania planowanych kosztów prac projektowych oraz planowanych kosztów robót budowlanych określonych </w:t>
      </w:r>
      <w:r w:rsidRPr="007F6E57">
        <w:rPr>
          <w:rFonts w:ascii="Times New Roman" w:hAnsi="Times New Roman" w:cs="Times New Roman"/>
          <w:color w:val="000000"/>
          <w:sz w:val="24"/>
          <w:szCs w:val="24"/>
        </w:rPr>
        <w:br/>
        <w:t>w programie funkcjonalno-użytkowym, Dz. U. 2004 poz. 1389), jak również katalogiem kosztów kwalifikowalnych i niekwalifikowalnych dla Działania 4.2 Regionalnego Programu Operacyjnego Województwa Mazowieckiego.</w:t>
      </w:r>
    </w:p>
    <w:p w14:paraId="5C961F86" w14:textId="77777777" w:rsidR="007F6E57" w:rsidRPr="007F6E57" w:rsidRDefault="007F6E57" w:rsidP="007F6E57">
      <w:pPr>
        <w:numPr>
          <w:ilvl w:val="1"/>
          <w:numId w:val="1"/>
        </w:numPr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6E57">
        <w:rPr>
          <w:rFonts w:ascii="Times New Roman" w:eastAsia="Times New Roman" w:hAnsi="Times New Roman" w:cs="Times New Roman"/>
          <w:color w:val="000000"/>
          <w:sz w:val="24"/>
          <w:szCs w:val="24"/>
        </w:rPr>
        <w:t>Obliczenie wskaźników efektywności energetycznej.</w:t>
      </w:r>
    </w:p>
    <w:p w14:paraId="064435DE" w14:textId="77777777" w:rsidR="007F6E57" w:rsidRPr="007F6E57" w:rsidRDefault="007F6E57" w:rsidP="007F6E57">
      <w:pPr>
        <w:numPr>
          <w:ilvl w:val="1"/>
          <w:numId w:val="1"/>
        </w:numPr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6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Odpowiedzi na pytania do dokumentacji technicznej na etapie oceny wniosku </w:t>
      </w:r>
      <w:r w:rsidRPr="007F6E57"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  <w:br/>
      </w:r>
      <w:r w:rsidRPr="007F6E57">
        <w:rPr>
          <w:rFonts w:ascii="Times New Roman" w:hAnsi="Times New Roman" w:cs="Times New Roman"/>
          <w:color w:val="000000"/>
          <w:sz w:val="24"/>
          <w:szCs w:val="24"/>
        </w:rPr>
        <w:t>w konkursie – zarówno ocena formalna, jak i merytoryczna.</w:t>
      </w:r>
    </w:p>
    <w:p w14:paraId="58D20245" w14:textId="4850615C" w:rsidR="007F6E57" w:rsidRPr="007F6E57" w:rsidRDefault="007F6E57" w:rsidP="007F6E57">
      <w:pPr>
        <w:pStyle w:val="Akapitzlist"/>
        <w:numPr>
          <w:ilvl w:val="0"/>
          <w:numId w:val="1"/>
        </w:numPr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6E57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Dokumentacja swoim zakresem ma obejmować m.in.:</w:t>
      </w:r>
    </w:p>
    <w:p w14:paraId="7FCE1853" w14:textId="77777777" w:rsidR="007F6E57" w:rsidRPr="007F6E57" w:rsidRDefault="007F6E57" w:rsidP="007F6E57">
      <w:pPr>
        <w:pStyle w:val="Akapitzlist"/>
        <w:numPr>
          <w:ilvl w:val="0"/>
          <w:numId w:val="5"/>
        </w:numPr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6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wymiana źródła ciepła na nowe kotły gazowe wraz z dostosowaniem kotłowni, </w:t>
      </w:r>
    </w:p>
    <w:p w14:paraId="4B822D19" w14:textId="77777777" w:rsidR="007F6E57" w:rsidRPr="007F6E57" w:rsidRDefault="007F6E57" w:rsidP="007F6E57">
      <w:pPr>
        <w:pStyle w:val="Akapitzlist"/>
        <w:numPr>
          <w:ilvl w:val="0"/>
          <w:numId w:val="5"/>
        </w:numPr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6E57">
        <w:rPr>
          <w:rFonts w:ascii="Times New Roman" w:eastAsia="Times New Roman" w:hAnsi="Times New Roman" w:cs="Times New Roman"/>
          <w:color w:val="000000"/>
          <w:sz w:val="24"/>
          <w:szCs w:val="24"/>
        </w:rPr>
        <w:t>wymiana instalacji grzewczej</w:t>
      </w:r>
    </w:p>
    <w:p w14:paraId="16DF1A02" w14:textId="02211DD5" w:rsidR="007F6E57" w:rsidRPr="007F6E57" w:rsidRDefault="007F6E57" w:rsidP="007F6E57">
      <w:pPr>
        <w:pStyle w:val="Akapitzlist"/>
        <w:numPr>
          <w:ilvl w:val="0"/>
          <w:numId w:val="5"/>
        </w:numPr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6E57">
        <w:rPr>
          <w:rFonts w:ascii="Times New Roman" w:eastAsia="Times New Roman" w:hAnsi="Times New Roman" w:cs="Times New Roman"/>
          <w:color w:val="000000"/>
          <w:sz w:val="24"/>
          <w:szCs w:val="24"/>
        </w:rPr>
        <w:t>montaż nowego zbiornika c.w.u. wraz z wymianą instalacji c.w.u. oraz zastosowanie oszczędnych baterii czerpalnych</w:t>
      </w:r>
    </w:p>
    <w:p w14:paraId="07F573A1" w14:textId="77777777" w:rsidR="007F6E57" w:rsidRPr="007F6E57" w:rsidRDefault="007F6E57" w:rsidP="007F6E57">
      <w:pPr>
        <w:pStyle w:val="Akapitzlist"/>
        <w:numPr>
          <w:ilvl w:val="0"/>
          <w:numId w:val="5"/>
        </w:numPr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6E57">
        <w:rPr>
          <w:rFonts w:ascii="Times New Roman" w:eastAsia="Times New Roman" w:hAnsi="Times New Roman" w:cs="Times New Roman"/>
          <w:color w:val="000000"/>
          <w:sz w:val="24"/>
          <w:szCs w:val="24"/>
        </w:rPr>
        <w:t>modernizacja instalacji gazowej</w:t>
      </w:r>
    </w:p>
    <w:p w14:paraId="6E61A41A" w14:textId="77777777" w:rsidR="007F6E57" w:rsidRPr="007F6E57" w:rsidRDefault="007F6E57" w:rsidP="007F6E57">
      <w:pPr>
        <w:pStyle w:val="Akapitzlist"/>
        <w:numPr>
          <w:ilvl w:val="0"/>
          <w:numId w:val="5"/>
        </w:numPr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6E57">
        <w:rPr>
          <w:rFonts w:ascii="Times New Roman" w:eastAsia="Times New Roman" w:hAnsi="Times New Roman" w:cs="Times New Roman"/>
          <w:color w:val="000000"/>
          <w:sz w:val="24"/>
          <w:szCs w:val="24"/>
        </w:rPr>
        <w:t>ocieplenie ścian zewnętrznych, przy gruncie wraz z cokołem,</w:t>
      </w:r>
    </w:p>
    <w:p w14:paraId="32E177A0" w14:textId="77777777" w:rsidR="007F6E57" w:rsidRPr="007F6E57" w:rsidRDefault="007F6E57" w:rsidP="007F6E57">
      <w:pPr>
        <w:pStyle w:val="Akapitzlist"/>
        <w:numPr>
          <w:ilvl w:val="0"/>
          <w:numId w:val="5"/>
        </w:numPr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6E5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ocieplenie stropu pod nieogrzewanym poddaszem</w:t>
      </w:r>
    </w:p>
    <w:p w14:paraId="0EB70A79" w14:textId="77777777" w:rsidR="007F6E57" w:rsidRPr="007F6E57" w:rsidRDefault="007F6E57" w:rsidP="007F6E57">
      <w:pPr>
        <w:pStyle w:val="Akapitzlist"/>
        <w:numPr>
          <w:ilvl w:val="0"/>
          <w:numId w:val="5"/>
        </w:numPr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6E57">
        <w:rPr>
          <w:rFonts w:ascii="Times New Roman" w:eastAsia="Times New Roman" w:hAnsi="Times New Roman" w:cs="Times New Roman"/>
          <w:color w:val="000000"/>
          <w:sz w:val="24"/>
          <w:szCs w:val="24"/>
        </w:rPr>
        <w:t>ocieplenie stropodachu nad salą gimnastyczną</w:t>
      </w:r>
    </w:p>
    <w:p w14:paraId="1F19732A" w14:textId="77777777" w:rsidR="007F6E57" w:rsidRPr="007F6E57" w:rsidRDefault="007F6E57" w:rsidP="007F6E57">
      <w:pPr>
        <w:pStyle w:val="Akapitzlist"/>
        <w:numPr>
          <w:ilvl w:val="0"/>
          <w:numId w:val="5"/>
        </w:numPr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6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wymiana starej stolarki okiennej drewnianej oraz montaż nawiewników </w:t>
      </w:r>
      <w:proofErr w:type="spellStart"/>
      <w:r w:rsidRPr="007F6E57">
        <w:rPr>
          <w:rFonts w:ascii="Times New Roman" w:eastAsia="Times New Roman" w:hAnsi="Times New Roman" w:cs="Times New Roman"/>
          <w:color w:val="000000"/>
          <w:sz w:val="24"/>
          <w:szCs w:val="24"/>
        </w:rPr>
        <w:t>higrosterowalnych</w:t>
      </w:r>
      <w:proofErr w:type="spellEnd"/>
      <w:r w:rsidRPr="007F6E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oknach</w:t>
      </w:r>
    </w:p>
    <w:p w14:paraId="2E63D65E" w14:textId="77777777" w:rsidR="007F6E57" w:rsidRPr="007F6E57" w:rsidRDefault="007F6E57" w:rsidP="007F6E57">
      <w:pPr>
        <w:pStyle w:val="Akapitzlist"/>
        <w:numPr>
          <w:ilvl w:val="0"/>
          <w:numId w:val="5"/>
        </w:numPr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6E57">
        <w:rPr>
          <w:rFonts w:ascii="Times New Roman" w:eastAsia="Times New Roman" w:hAnsi="Times New Roman" w:cs="Times New Roman"/>
          <w:color w:val="000000"/>
          <w:sz w:val="24"/>
          <w:szCs w:val="24"/>
        </w:rPr>
        <w:t>wymiana starej stolarki drzwiowej w budynku, wraz z pracami towarzyszącymi.</w:t>
      </w:r>
    </w:p>
    <w:p w14:paraId="4723B242" w14:textId="77777777" w:rsidR="007F6E57" w:rsidRPr="007F6E57" w:rsidRDefault="007F6E57" w:rsidP="007F6E57">
      <w:pPr>
        <w:pStyle w:val="Akapitzlist"/>
        <w:numPr>
          <w:ilvl w:val="0"/>
          <w:numId w:val="5"/>
        </w:numPr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6E57">
        <w:rPr>
          <w:rFonts w:ascii="Times New Roman" w:eastAsia="Times New Roman" w:hAnsi="Times New Roman" w:cs="Times New Roman"/>
          <w:color w:val="000000"/>
          <w:sz w:val="24"/>
          <w:szCs w:val="24"/>
        </w:rPr>
        <w:t>rozbiórka istniejącego komina wolnostojącego i budowę nowych kominów na elewacji</w:t>
      </w:r>
    </w:p>
    <w:p w14:paraId="3F7A6D36" w14:textId="77777777" w:rsidR="007F6E57" w:rsidRPr="007F6E57" w:rsidRDefault="007F6E57" w:rsidP="007F6E57">
      <w:pPr>
        <w:pStyle w:val="Akapitzlist"/>
        <w:numPr>
          <w:ilvl w:val="0"/>
          <w:numId w:val="5"/>
        </w:numPr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6E57">
        <w:rPr>
          <w:rFonts w:ascii="Times New Roman" w:eastAsia="Times New Roman" w:hAnsi="Times New Roman" w:cs="Times New Roman"/>
          <w:color w:val="000000"/>
          <w:sz w:val="24"/>
          <w:szCs w:val="24"/>
        </w:rPr>
        <w:t>wykonanie nowych schodów do Sali sportowej</w:t>
      </w:r>
    </w:p>
    <w:p w14:paraId="56BC8549" w14:textId="77777777" w:rsidR="007F6E57" w:rsidRPr="007F6E57" w:rsidRDefault="007F6E57" w:rsidP="007F6E57">
      <w:pPr>
        <w:pStyle w:val="Akapitzlist"/>
        <w:numPr>
          <w:ilvl w:val="0"/>
          <w:numId w:val="5"/>
        </w:numPr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6E57">
        <w:rPr>
          <w:rFonts w:ascii="Times New Roman" w:eastAsia="Times New Roman" w:hAnsi="Times New Roman" w:cs="Times New Roman"/>
          <w:color w:val="000000"/>
          <w:sz w:val="24"/>
          <w:szCs w:val="24"/>
        </w:rPr>
        <w:t>wykonanie projektowanej opaski z kostki</w:t>
      </w:r>
    </w:p>
    <w:p w14:paraId="1952251A" w14:textId="77777777" w:rsidR="007F6E57" w:rsidRPr="007F6E57" w:rsidRDefault="007F6E57" w:rsidP="007F6E57">
      <w:pPr>
        <w:pStyle w:val="Akapitzlist"/>
        <w:numPr>
          <w:ilvl w:val="0"/>
          <w:numId w:val="5"/>
        </w:numPr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6E57">
        <w:rPr>
          <w:rFonts w:ascii="Times New Roman" w:eastAsia="Times New Roman" w:hAnsi="Times New Roman" w:cs="Times New Roman"/>
          <w:color w:val="000000"/>
          <w:sz w:val="24"/>
          <w:szCs w:val="24"/>
        </w:rPr>
        <w:t>wykonanie zadaszenia szklanego nad wejściem głównym</w:t>
      </w:r>
    </w:p>
    <w:p w14:paraId="7F661947" w14:textId="77777777" w:rsidR="007F6E57" w:rsidRPr="007F6E57" w:rsidRDefault="007F6E57" w:rsidP="007F6E57">
      <w:pPr>
        <w:pStyle w:val="Akapitzlist"/>
        <w:numPr>
          <w:ilvl w:val="0"/>
          <w:numId w:val="5"/>
        </w:numPr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6E57">
        <w:rPr>
          <w:rFonts w:ascii="Times New Roman" w:eastAsia="Times New Roman" w:hAnsi="Times New Roman" w:cs="Times New Roman"/>
          <w:color w:val="000000"/>
          <w:sz w:val="24"/>
          <w:szCs w:val="24"/>
        </w:rPr>
        <w:t>przemurowanie kominów wentylacyjnych</w:t>
      </w:r>
    </w:p>
    <w:p w14:paraId="0AE4B9E6" w14:textId="77777777" w:rsidR="007F6E57" w:rsidRPr="007F6E57" w:rsidRDefault="007F6E57" w:rsidP="007F6E57">
      <w:pPr>
        <w:pStyle w:val="Akapitzlist"/>
        <w:numPr>
          <w:ilvl w:val="0"/>
          <w:numId w:val="5"/>
        </w:numPr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6E57">
        <w:rPr>
          <w:rFonts w:ascii="Times New Roman" w:eastAsia="Times New Roman" w:hAnsi="Times New Roman" w:cs="Times New Roman"/>
          <w:color w:val="000000"/>
          <w:sz w:val="24"/>
          <w:szCs w:val="24"/>
        </w:rPr>
        <w:t>wykonanie pokrycia dachu</w:t>
      </w:r>
    </w:p>
    <w:p w14:paraId="03BC5ED6" w14:textId="77777777" w:rsidR="007F6E57" w:rsidRPr="007F6E57" w:rsidRDefault="007F6E57" w:rsidP="007F6E57">
      <w:pPr>
        <w:pStyle w:val="Akapitzlist"/>
        <w:numPr>
          <w:ilvl w:val="0"/>
          <w:numId w:val="5"/>
        </w:numPr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6E57">
        <w:rPr>
          <w:rFonts w:ascii="Times New Roman" w:eastAsia="Times New Roman" w:hAnsi="Times New Roman" w:cs="Times New Roman"/>
          <w:color w:val="000000"/>
          <w:sz w:val="24"/>
          <w:szCs w:val="24"/>
        </w:rPr>
        <w:t>wymiana oświetlenia na LED</w:t>
      </w:r>
    </w:p>
    <w:p w14:paraId="6C8EE6A5" w14:textId="77777777" w:rsidR="007F6E57" w:rsidRPr="007F6E57" w:rsidRDefault="007F6E57" w:rsidP="007F6E57">
      <w:pPr>
        <w:pStyle w:val="Akapitzlist"/>
        <w:numPr>
          <w:ilvl w:val="0"/>
          <w:numId w:val="5"/>
        </w:numPr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6E57">
        <w:rPr>
          <w:rFonts w:ascii="Times New Roman" w:eastAsia="Times New Roman" w:hAnsi="Times New Roman" w:cs="Times New Roman"/>
          <w:color w:val="000000"/>
          <w:sz w:val="24"/>
          <w:szCs w:val="24"/>
        </w:rPr>
        <w:t>budowa instalacji PV</w:t>
      </w:r>
    </w:p>
    <w:p w14:paraId="41333CE8" w14:textId="77777777" w:rsidR="007F6E57" w:rsidRPr="007F6E57" w:rsidRDefault="007F6E57" w:rsidP="007F6E57">
      <w:pPr>
        <w:spacing w:before="120"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216376" w14:textId="77777777" w:rsidR="00CC1628" w:rsidRPr="007F6E57" w:rsidRDefault="00CC1628" w:rsidP="007F6E57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sectPr w:rsidR="00CC1628" w:rsidRPr="007F6E5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67ECE" w14:textId="77777777" w:rsidR="005017CA" w:rsidRDefault="005017CA" w:rsidP="00DD1FEB">
      <w:r>
        <w:separator/>
      </w:r>
    </w:p>
  </w:endnote>
  <w:endnote w:type="continuationSeparator" w:id="0">
    <w:p w14:paraId="1F32F99A" w14:textId="77777777" w:rsidR="005017CA" w:rsidRDefault="005017CA" w:rsidP="00DD1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8363401"/>
      <w:docPartObj>
        <w:docPartGallery w:val="Page Numbers (Bottom of Page)"/>
        <w:docPartUnique/>
      </w:docPartObj>
    </w:sdtPr>
    <w:sdtContent>
      <w:p w14:paraId="6A357241" w14:textId="38138051" w:rsidR="00DD1FEB" w:rsidRDefault="00DD1F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75B13E" w14:textId="77777777" w:rsidR="00DD1FEB" w:rsidRDefault="00DD1F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E364F" w14:textId="77777777" w:rsidR="005017CA" w:rsidRDefault="005017CA" w:rsidP="00DD1FEB">
      <w:r>
        <w:separator/>
      </w:r>
    </w:p>
  </w:footnote>
  <w:footnote w:type="continuationSeparator" w:id="0">
    <w:p w14:paraId="7D1864DC" w14:textId="77777777" w:rsidR="005017CA" w:rsidRDefault="005017CA" w:rsidP="00DD1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D2EAE"/>
    <w:multiLevelType w:val="hybridMultilevel"/>
    <w:tmpl w:val="E63E5D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F27589"/>
    <w:multiLevelType w:val="hybridMultilevel"/>
    <w:tmpl w:val="DD3A81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916C0F"/>
    <w:multiLevelType w:val="multilevel"/>
    <w:tmpl w:val="9E70D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D26E36"/>
    <w:multiLevelType w:val="hybridMultilevel"/>
    <w:tmpl w:val="81A07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92801"/>
    <w:multiLevelType w:val="multilevel"/>
    <w:tmpl w:val="DA323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E57"/>
    <w:rsid w:val="00054B24"/>
    <w:rsid w:val="004740FF"/>
    <w:rsid w:val="004D12EF"/>
    <w:rsid w:val="005017CA"/>
    <w:rsid w:val="005415B3"/>
    <w:rsid w:val="005A0624"/>
    <w:rsid w:val="007F6E57"/>
    <w:rsid w:val="008D5BD7"/>
    <w:rsid w:val="00AD283C"/>
    <w:rsid w:val="00BD10F0"/>
    <w:rsid w:val="00CC1628"/>
    <w:rsid w:val="00DD1FEB"/>
    <w:rsid w:val="00E7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AAADC"/>
  <w15:chartTrackingRefBased/>
  <w15:docId w15:val="{EFD59C72-AD14-47F3-8FB6-F77785B1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E57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F6E57"/>
  </w:style>
  <w:style w:type="paragraph" w:styleId="Akapitzlist">
    <w:name w:val="List Paragraph"/>
    <w:basedOn w:val="Normalny"/>
    <w:uiPriority w:val="34"/>
    <w:qFormat/>
    <w:rsid w:val="007F6E5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1F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1FEB"/>
    <w:rPr>
      <w:rFonts w:ascii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D1F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1FEB"/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7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921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Pyc</dc:creator>
  <cp:keywords/>
  <dc:description/>
  <cp:lastModifiedBy>Geodeta</cp:lastModifiedBy>
  <cp:revision>2</cp:revision>
  <dcterms:created xsi:type="dcterms:W3CDTF">2020-07-09T11:50:00Z</dcterms:created>
  <dcterms:modified xsi:type="dcterms:W3CDTF">2020-07-09T11:50:00Z</dcterms:modified>
</cp:coreProperties>
</file>